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 xml:space="preserve">Case Study: </w:t>
      </w:r>
      <w:proofErr w:type="spellStart"/>
      <w:r w:rsidRPr="0059716D">
        <w:rPr>
          <w:rFonts w:ascii="Times New Roman" w:hAnsi="Times New Roman" w:cs="Times New Roman"/>
          <w:b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b/>
          <w:sz w:val="28"/>
          <w:szCs w:val="28"/>
        </w:rPr>
        <w:t xml:space="preserve"> – The ₹80,000 Crore Giant That Refused to IPO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Sharif Uddin Ahmed Rana 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716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9716D">
        <w:rPr>
          <w:rFonts w:ascii="Times New Roman" w:hAnsi="Times New Roman" w:cs="Times New Roman"/>
          <w:sz w:val="28"/>
          <w:szCs w:val="28"/>
        </w:rPr>
        <w:t xml:space="preserve"> ₹80,000 crore cooperative, exemplifies a business model that prioritizes collective ownership and rural empowerment over traditional profit-driven approaches. Founded in 1946, it transformed India's dairy sector, making the nation the largest producer of milk in the world. This case study explores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origins, its resistance to an IPO, and the broader implications of its success for cooperative and talent-driven economies.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Origins: The Birth of a Revolution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In pre-independence India, Gujarat’s dairy farmers were exploited by private contractors and middlemen, who controlled pricing and market access. This changed in 1946 when farmers, under the leadership of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Sardar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Vallabhbhai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Patel,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Tribhuvandas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Patel, and support from Dr.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Verghese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Kurien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founded the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Kaira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District Coo</w:t>
      </w:r>
      <w:r>
        <w:rPr>
          <w:rFonts w:ascii="Times New Roman" w:hAnsi="Times New Roman" w:cs="Times New Roman"/>
          <w:sz w:val="28"/>
          <w:szCs w:val="28"/>
        </w:rPr>
        <w:t>perative Milk Producers’ Union.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This union laid the foundation for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creating a cooperative system where farmers retained ownership and control over milk production and sales. The movement gained momentum during the White Revolution of the 1970s, led by Dr.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Kurien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which transformed India from a milk-deficient country </w:t>
      </w:r>
      <w:r>
        <w:rPr>
          <w:rFonts w:ascii="Times New Roman" w:hAnsi="Times New Roman" w:cs="Times New Roman"/>
          <w:sz w:val="28"/>
          <w:szCs w:val="28"/>
        </w:rPr>
        <w:t>to the largest global producer.</w:t>
      </w: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88054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5943600"/>
            <wp:effectExtent l="0" t="0" r="0" b="0"/>
            <wp:docPr id="1" name="Picture 1" descr="C:\Users\MN\Downloads\fe4c2622-d069-4cbe-b9f9-3ec4944a2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\Downloads\fe4c2622-d069-4cbe-b9f9-3ec4944a29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49" w:rsidRPr="0059716D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operates under the Gujarat Cooperative Milk Marketing Federation (GCMMF), comprising 18 member unions and representing 3.6 million dairy farmers.</w:t>
      </w:r>
      <w:r>
        <w:rPr>
          <w:rFonts w:ascii="Times New Roman" w:hAnsi="Times New Roman" w:cs="Times New Roman"/>
          <w:sz w:val="28"/>
          <w:szCs w:val="28"/>
        </w:rPr>
        <w:t xml:space="preserve"> The cooperative model ensures:</w:t>
      </w: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Pr="0059716D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lastRenderedPageBreak/>
        <w:t>Equitable Revenue Distribution:</w:t>
      </w:r>
      <w:r w:rsidRPr="0059716D">
        <w:rPr>
          <w:rFonts w:ascii="Times New Roman" w:hAnsi="Times New Roman" w:cs="Times New Roman"/>
          <w:sz w:val="28"/>
          <w:szCs w:val="28"/>
        </w:rPr>
        <w:t xml:space="preserve"> 80% of revenues are returned to farmers, securing their livelihoods.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Democratic Decision-Making:</w:t>
      </w:r>
      <w:r w:rsidRPr="0059716D">
        <w:rPr>
          <w:rFonts w:ascii="Times New Roman" w:hAnsi="Times New Roman" w:cs="Times New Roman"/>
          <w:sz w:val="28"/>
          <w:szCs w:val="28"/>
        </w:rPr>
        <w:t xml:space="preserve"> Farmers actively participate in governance, maintaining control over strategic decisions.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Focus on Welfare:</w:t>
      </w:r>
      <w:r w:rsidRPr="0059716D">
        <w:rPr>
          <w:rFonts w:ascii="Times New Roman" w:hAnsi="Times New Roman" w:cs="Times New Roman"/>
          <w:sz w:val="28"/>
          <w:szCs w:val="28"/>
        </w:rPr>
        <w:t xml:space="preserve"> Profits are reinvested into initiatives like veterinary services, rural infrastructure, and education.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This ownership model aligns with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Elinor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Ostrom’s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principles of collective action, proving that community-driven enterprises can sustainably manage resources and scale operations.</w:t>
      </w:r>
    </w:p>
    <w:p w:rsidR="00880549" w:rsidRPr="0059716D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88054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C:\Users\MN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N\Downloads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Resistance to IPO: Preserving Values Over Valuation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Unlike most large enterprises,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has resisted calls to go public. An Initial Public Offering (IPO) would introduce external shareholders, shifting focus from farmer welfare to stockholder profits.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decision is rooted in the belief that: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Farmer Welfare Takes Precedence:</w:t>
      </w:r>
      <w:r w:rsidRPr="0059716D">
        <w:rPr>
          <w:rFonts w:ascii="Times New Roman" w:hAnsi="Times New Roman" w:cs="Times New Roman"/>
          <w:sz w:val="28"/>
          <w:szCs w:val="28"/>
        </w:rPr>
        <w:t xml:space="preserve"> External shareholders could pressure management to prioritize dividends over fair farmer compensation.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lastRenderedPageBreak/>
        <w:t>Reinvestment Over Dividends:</w:t>
      </w:r>
      <w:r w:rsidRPr="0059716D">
        <w:rPr>
          <w:rFonts w:ascii="Times New Roman" w:hAnsi="Times New Roman" w:cs="Times New Roman"/>
          <w:sz w:val="28"/>
          <w:szCs w:val="28"/>
        </w:rPr>
        <w:t xml:space="preserve"> Profits are reinvested in technology, infrastructure, and price support systems.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Mission Integrity:</w:t>
      </w:r>
      <w:r w:rsidRPr="0059716D">
        <w:rPr>
          <w:rFonts w:ascii="Times New Roman" w:hAnsi="Times New Roman" w:cs="Times New Roman"/>
          <w:sz w:val="28"/>
          <w:szCs w:val="28"/>
        </w:rPr>
        <w:t xml:space="preserve"> Going public could dilute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cooperative mission and democratic governance structure.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Impact:</w:t>
      </w:r>
      <w:r w:rsidRPr="0059716D">
        <w:rPr>
          <w:rFonts w:ascii="Times New Roman" w:hAnsi="Times New Roman" w:cs="Times New Roman"/>
          <w:sz w:val="28"/>
          <w:szCs w:val="28"/>
        </w:rPr>
        <w:t xml:space="preserve"> A Catalyst for Rural Transformation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cooperative model has delivered extraordin</w:t>
      </w:r>
      <w:r>
        <w:rPr>
          <w:rFonts w:ascii="Times New Roman" w:hAnsi="Times New Roman" w:cs="Times New Roman"/>
          <w:sz w:val="28"/>
          <w:szCs w:val="28"/>
        </w:rPr>
        <w:t>ary social and economic impact: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Economic Growth:</w:t>
      </w:r>
      <w:r w:rsidRPr="0059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contributes significantly to India’s GDP, with its supply chain employing millions across rural and urban areas.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Rural Empowerment:</w:t>
      </w:r>
      <w:r w:rsidRPr="0059716D">
        <w:rPr>
          <w:rFonts w:ascii="Times New Roman" w:hAnsi="Times New Roman" w:cs="Times New Roman"/>
          <w:sz w:val="28"/>
          <w:szCs w:val="28"/>
        </w:rPr>
        <w:t xml:space="preserve"> Farmers earn consistent, fair prices, reducing rural poverty.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Technology Adoption: Continuous investment in technology has modernized India’s dairy sector, enhancing productivity and quality.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The ripple effects of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success were pivotal in India’s White Revolution, which increased milk production from 20 million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tonnes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(1970) to 221 million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tonnes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(2021).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Global Parallels: The Success of Cooperative Models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success resonates globally, with similar cooperative models demonstrating scalability and sustainability: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Mondragon Corporation (Spain):</w:t>
      </w:r>
      <w:r w:rsidRPr="0059716D">
        <w:rPr>
          <w:rFonts w:ascii="Times New Roman" w:hAnsi="Times New Roman" w:cs="Times New Roman"/>
          <w:sz w:val="28"/>
          <w:szCs w:val="28"/>
        </w:rPr>
        <w:t xml:space="preserve"> A worker-owned industrial cooperative with revenues exceeding €12 billion annually.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Dairy Farmers of America (USA):</w:t>
      </w:r>
      <w:r w:rsidRPr="0059716D">
        <w:rPr>
          <w:rFonts w:ascii="Times New Roman" w:hAnsi="Times New Roman" w:cs="Times New Roman"/>
          <w:sz w:val="28"/>
          <w:szCs w:val="28"/>
        </w:rPr>
        <w:t xml:space="preserve"> A farmer-owned cooperative managing 22% of the U.S. milk supply, ensuring fair prices and market stability.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These examples validate that collective ownership is not limited to local economies—it thrives on a global scale.</w:t>
      </w: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Pr="0059716D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lastRenderedPageBreak/>
        <w:t>Key Takeaways for the Talent Economy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cooperative model provides valuable lessons for businesses in the talent economy: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People-Centric Ownership:</w:t>
      </w:r>
      <w:r w:rsidRPr="0059716D">
        <w:rPr>
          <w:rFonts w:ascii="Times New Roman" w:hAnsi="Times New Roman" w:cs="Times New Roman"/>
          <w:sz w:val="28"/>
          <w:szCs w:val="28"/>
        </w:rPr>
        <w:t xml:space="preserve"> Empowering contributors (farmers, employees, or stakeholders) ensures long-term sustainability.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Mission-Driven Growth:</w:t>
      </w:r>
      <w:r w:rsidRPr="0059716D">
        <w:rPr>
          <w:rFonts w:ascii="Times New Roman" w:hAnsi="Times New Roman" w:cs="Times New Roman"/>
          <w:sz w:val="28"/>
          <w:szCs w:val="28"/>
        </w:rPr>
        <w:t xml:space="preserve"> Staying true to core values fosters resilience and community trust.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Reinvestment for Impact:</w:t>
      </w:r>
      <w:r w:rsidRPr="0059716D">
        <w:rPr>
          <w:rFonts w:ascii="Times New Roman" w:hAnsi="Times New Roman" w:cs="Times New Roman"/>
          <w:sz w:val="28"/>
          <w:szCs w:val="28"/>
        </w:rPr>
        <w:t xml:space="preserve"> Prioritizing innovation and infrastructure builds competitive advantage without compromising equity.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6D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refusal to IPO reflects its commitment to preserving the cooperative ethos that has driven its success. By prioritizing farmer welfare, reinvestment, and mission integrity,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has scaled into a global dairy powerhouse w</w:t>
      </w:r>
      <w:r>
        <w:rPr>
          <w:rFonts w:ascii="Times New Roman" w:hAnsi="Times New Roman" w:cs="Times New Roman"/>
          <w:sz w:val="28"/>
          <w:szCs w:val="28"/>
        </w:rPr>
        <w:t>hile staying true to its roots.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For the global talent economy,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offers a blueprint for businesses that aspire to balance scale, sustainabilit</w:t>
      </w:r>
      <w:r>
        <w:rPr>
          <w:rFonts w:ascii="Times New Roman" w:hAnsi="Times New Roman" w:cs="Times New Roman"/>
          <w:sz w:val="28"/>
          <w:szCs w:val="28"/>
        </w:rPr>
        <w:t>y, and stakeholder empowerment.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As industries explore alternative models to maximize shared value, perhaps the future doesn’t need more IPOs—it needs more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>.</w:t>
      </w: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549" w:rsidRDefault="00880549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16D" w:rsidRPr="0059716D" w:rsidRDefault="0059716D" w:rsidP="00597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References: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Kurien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V. (2007). I Too Had a Dream.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Roli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Books.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GCMMF Annual Report (2022).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National Dairy Development Board (NDDB) Reports (2021).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Shukla, R. (2020). "Why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Will Never IPO." The Indian Express.</w:t>
      </w:r>
    </w:p>
    <w:p w:rsidR="00EE6253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Cheney, G. (2002). Values at Work: Employee Participation Meets Market Pressure at Mondragon. Cornell University Press.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6D">
        <w:rPr>
          <w:rFonts w:ascii="Times New Roman" w:hAnsi="Times New Roman" w:cs="Times New Roman"/>
          <w:sz w:val="28"/>
          <w:szCs w:val="28"/>
        </w:rPr>
        <w:t>Kurien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, V. (2007). I Too Had a Dream.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Roli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Books.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Shukla, R. (2019). “The Cooperative Revolution: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Amul’s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Journey.” Economic and Political Weekly, 54(32).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Ownership Model: The Cooperative Advantage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Cheney, G. (2002). Values at Work: Employee Participation Meets Market Pressure at Mondragon. Cornell University Press.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Dairy Farmers of America Annual Report (2023).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National Dairy Development Board (NDDB) Reports (2021).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Sharma, N. (2018). "Impact of the White Revolution." Journal of Rural Studies, 38(4).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 xml:space="preserve">Shukla, R. (2020). "Why </w:t>
      </w:r>
      <w:proofErr w:type="spellStart"/>
      <w:r w:rsidRPr="0059716D">
        <w:rPr>
          <w:rFonts w:ascii="Times New Roman" w:hAnsi="Times New Roman" w:cs="Times New Roman"/>
          <w:sz w:val="28"/>
          <w:szCs w:val="28"/>
        </w:rPr>
        <w:t>Amul</w:t>
      </w:r>
      <w:proofErr w:type="spellEnd"/>
      <w:r w:rsidRPr="0059716D">
        <w:rPr>
          <w:rFonts w:ascii="Times New Roman" w:hAnsi="Times New Roman" w:cs="Times New Roman"/>
          <w:sz w:val="28"/>
          <w:szCs w:val="28"/>
        </w:rPr>
        <w:t xml:space="preserve"> Will Never IPO." The Indian Express.</w:t>
      </w:r>
    </w:p>
    <w:p w:rsid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  <w:r w:rsidRPr="0059716D">
        <w:rPr>
          <w:rFonts w:ascii="Times New Roman" w:hAnsi="Times New Roman" w:cs="Times New Roman"/>
          <w:sz w:val="28"/>
          <w:szCs w:val="28"/>
        </w:rPr>
        <w:t>GCMMF Strategic Vision Document (2023).</w:t>
      </w:r>
    </w:p>
    <w:p w:rsidR="0059716D" w:rsidRPr="0059716D" w:rsidRDefault="0059716D" w:rsidP="005971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716D" w:rsidRPr="0059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6D"/>
    <w:rsid w:val="0059716D"/>
    <w:rsid w:val="00880549"/>
    <w:rsid w:val="00E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4BBC"/>
  <w15:chartTrackingRefBased/>
  <w15:docId w15:val="{00282018-35B6-40B7-8C54-487B7AE9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1</cp:revision>
  <dcterms:created xsi:type="dcterms:W3CDTF">2025-01-07T10:14:00Z</dcterms:created>
  <dcterms:modified xsi:type="dcterms:W3CDTF">2025-01-07T10:29:00Z</dcterms:modified>
</cp:coreProperties>
</file>